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02FC0" w14:textId="77777777" w:rsidR="0010765C" w:rsidRDefault="00EB1E73">
      <w:pPr>
        <w:tabs>
          <w:tab w:val="left" w:pos="1202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Vicenza, 21 aprile 2020</w:t>
      </w:r>
    </w:p>
    <w:p w14:paraId="75902FC1" w14:textId="77777777" w:rsidR="0010765C" w:rsidRDefault="00EB1E73">
      <w:pPr>
        <w:tabs>
          <w:tab w:val="left" w:pos="1202"/>
        </w:tabs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Ai Genitori e agli Alunni</w:t>
      </w:r>
    </w:p>
    <w:p w14:paraId="75902FC2" w14:textId="77777777" w:rsidR="0010765C" w:rsidRDefault="00EB1E73">
      <w:pPr>
        <w:tabs>
          <w:tab w:val="left" w:pos="1202"/>
        </w:tabs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scuola secondaria di I grado “G. Ambrosoli”</w:t>
      </w:r>
    </w:p>
    <w:p w14:paraId="75902FC3" w14:textId="77777777" w:rsidR="0010765C" w:rsidRDefault="0010765C">
      <w:pPr>
        <w:tabs>
          <w:tab w:val="left" w:pos="1202"/>
        </w:tabs>
        <w:jc w:val="both"/>
        <w:rPr>
          <w:rFonts w:ascii="Verdana" w:eastAsia="Verdana" w:hAnsi="Verdana" w:cs="Verdana"/>
          <w:b/>
        </w:rPr>
      </w:pPr>
    </w:p>
    <w:p w14:paraId="75902FC4" w14:textId="77777777" w:rsidR="0010765C" w:rsidRDefault="00EB1E73">
      <w:pPr>
        <w:tabs>
          <w:tab w:val="left" w:pos="1202"/>
        </w:tabs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Didattica a distanza </w:t>
      </w:r>
    </w:p>
    <w:p w14:paraId="75902FC5" w14:textId="77777777" w:rsidR="0010765C" w:rsidRDefault="00EB1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2"/>
        </w:tabs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Inizio emergenza: 24 febbraio 2020</w:t>
      </w:r>
    </w:p>
    <w:p w14:paraId="75902FC6" w14:textId="77777777" w:rsidR="0010765C" w:rsidRDefault="00EB1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Chiusura scuole: 24 febbraio – 29 febbraio 2020</w:t>
      </w:r>
    </w:p>
    <w:p w14:paraId="75902FC7" w14:textId="77777777" w:rsidR="0010765C" w:rsidRDefault="00EB1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Sospensione attività didattica: 2 marzo 2020 – </w:t>
      </w:r>
      <w:r>
        <w:rPr>
          <w:rFonts w:ascii="Verdana" w:eastAsia="Verdana" w:hAnsi="Verdana" w:cs="Verdana"/>
        </w:rPr>
        <w:t xml:space="preserve">3 maggio </w:t>
      </w:r>
      <w:r>
        <w:rPr>
          <w:rFonts w:ascii="Verdana" w:eastAsia="Verdana" w:hAnsi="Verdana" w:cs="Verdana"/>
          <w:color w:val="000000"/>
        </w:rPr>
        <w:t>2020</w:t>
      </w:r>
    </w:p>
    <w:p w14:paraId="75902FC8" w14:textId="77777777" w:rsidR="0010765C" w:rsidRDefault="0010765C">
      <w:pPr>
        <w:jc w:val="both"/>
        <w:rPr>
          <w:rFonts w:ascii="Verdana" w:eastAsia="Verdana" w:hAnsi="Verdana" w:cs="Verdana"/>
        </w:rPr>
      </w:pPr>
    </w:p>
    <w:p w14:paraId="75902FC9" w14:textId="77777777" w:rsidR="0010765C" w:rsidRDefault="00E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Canali attivati per didattica a distanza </w:t>
      </w:r>
    </w:p>
    <w:p w14:paraId="75902FCA" w14:textId="77777777" w:rsidR="0010765C" w:rsidRDefault="00EB1E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 Pro" w:eastAsia="Verdana Pro" w:hAnsi="Verdana Pro" w:cs="Verdana Pro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Registro elettronico </w:t>
      </w:r>
      <w:r>
        <w:rPr>
          <w:rFonts w:ascii="Verdana" w:eastAsia="Verdana" w:hAnsi="Verdana" w:cs="Verdana"/>
          <w:b/>
          <w:i/>
          <w:color w:val="000000"/>
        </w:rPr>
        <w:t>Valle Media Time</w:t>
      </w:r>
      <w:r>
        <w:rPr>
          <w:rFonts w:ascii="Verdana" w:eastAsia="Verdana" w:hAnsi="Verdana" w:cs="Verdana"/>
          <w:color w:val="000000"/>
        </w:rPr>
        <w:t xml:space="preserve"> in funzione per secondaria di I grado e primaria: aumento delle funzionalità con possibilità di scambio documenti tra docenti e alunni. Attivazione area “Alunni”.</w:t>
      </w:r>
    </w:p>
    <w:p w14:paraId="75902FCB" w14:textId="77777777" w:rsidR="0010765C" w:rsidRDefault="00E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file condivisi tra docenti e alunni al 24 di marzo: 2.431;</w:t>
      </w:r>
    </w:p>
    <w:p w14:paraId="75902FCC" w14:textId="77777777" w:rsidR="0010765C" w:rsidRDefault="00E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operazioni registrate in area “al</w:t>
      </w:r>
      <w:r>
        <w:rPr>
          <w:rFonts w:ascii="Verdana" w:eastAsia="Verdana" w:hAnsi="Verdana" w:cs="Verdana"/>
          <w:color w:val="000000"/>
        </w:rPr>
        <w:t xml:space="preserve">unni” nel mese di marzo: 42.861 </w:t>
      </w:r>
    </w:p>
    <w:p w14:paraId="75902FCD" w14:textId="77777777" w:rsidR="0010765C" w:rsidRDefault="00EB1E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 Pro" w:eastAsia="Verdana Pro" w:hAnsi="Verdana Pro" w:cs="Verdana Pro"/>
          <w:color w:val="000000"/>
        </w:rPr>
      </w:pPr>
      <w:r>
        <w:rPr>
          <w:rFonts w:ascii="Verdana" w:eastAsia="Verdana" w:hAnsi="Verdana" w:cs="Verdana"/>
          <w:b/>
        </w:rPr>
        <w:t xml:space="preserve">Consulenza </w:t>
      </w:r>
      <w:r>
        <w:rPr>
          <w:rFonts w:ascii="Verdana" w:eastAsia="Verdana" w:hAnsi="Verdana" w:cs="Verdana"/>
        </w:rPr>
        <w:t>Fornita</w:t>
      </w:r>
      <w:r>
        <w:rPr>
          <w:rFonts w:ascii="Verdana" w:eastAsia="Verdana" w:hAnsi="Verdana" w:cs="Verdana"/>
          <w:color w:val="000000"/>
        </w:rPr>
        <w:t xml:space="preserve"> a genitori per recupero credenziali e procedure di attivazione</w:t>
      </w:r>
    </w:p>
    <w:p w14:paraId="75902FCE" w14:textId="77777777" w:rsidR="0010765C" w:rsidRDefault="00E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contatti telefonici: circa 10 al giorno</w:t>
      </w:r>
    </w:p>
    <w:p w14:paraId="75902FCF" w14:textId="77777777" w:rsidR="0010765C" w:rsidRDefault="00E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mail: circa 20 al giorno</w:t>
      </w:r>
    </w:p>
    <w:p w14:paraId="75902FD0" w14:textId="77777777" w:rsidR="0010765C" w:rsidRDefault="00EB1E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 Pro" w:eastAsia="Verdana Pro" w:hAnsi="Verdana Pro" w:cs="Verdana Pro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Piattaforma </w:t>
      </w:r>
      <w:r>
        <w:rPr>
          <w:rFonts w:ascii="Verdana" w:eastAsia="Verdana" w:hAnsi="Verdana" w:cs="Verdana"/>
          <w:b/>
          <w:i/>
          <w:color w:val="000000"/>
        </w:rPr>
        <w:t>G Suite</w:t>
      </w:r>
      <w:r>
        <w:rPr>
          <w:rFonts w:ascii="Verdana" w:eastAsia="Verdana" w:hAnsi="Verdana" w:cs="Verdana"/>
          <w:color w:val="000000"/>
        </w:rPr>
        <w:t>: raccolta autorizzazioni, creazioni mail scolastiche e distribuzione delle stesse per attivazione account a docenti, personale ATA, genitori – alunni della scuola secondaria di I grado, primaria e infanzia.</w:t>
      </w:r>
    </w:p>
    <w:p w14:paraId="75902FD1" w14:textId="77777777" w:rsidR="0010765C" w:rsidRDefault="00E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Aggiornamento elenchi delle autorizzazioni</w:t>
      </w:r>
    </w:p>
    <w:p w14:paraId="75902FD2" w14:textId="77777777" w:rsidR="0010765C" w:rsidRDefault="00E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Consu</w:t>
      </w:r>
      <w:r>
        <w:rPr>
          <w:rFonts w:ascii="Verdana" w:eastAsia="Verdana" w:hAnsi="Verdana" w:cs="Verdana"/>
          <w:color w:val="000000"/>
        </w:rPr>
        <w:t>lenza fornita ai genitori per attivare G mail e utilizzare le funzionalità di G suite (attraverso mail, telefonate, tutorial nel sito della scuola).</w:t>
      </w:r>
    </w:p>
    <w:p w14:paraId="75902FD3" w14:textId="77777777" w:rsidR="0010765C" w:rsidRDefault="00E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Stesura Regolamento per l’uso di G Suite, comunicazione dello stesso attraverso il sito della scuola a geni</w:t>
      </w:r>
      <w:r>
        <w:rPr>
          <w:rFonts w:ascii="Verdana" w:eastAsia="Verdana" w:hAnsi="Verdana" w:cs="Verdana"/>
          <w:color w:val="000000"/>
        </w:rPr>
        <w:t>tori e personale della scuola</w:t>
      </w:r>
    </w:p>
    <w:p w14:paraId="75902FD4" w14:textId="77777777" w:rsidR="0010765C" w:rsidRDefault="00E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Condivisione tra docenti e genitori (attraverso sito della scuola) dell’informativa privacy per didattica a distanza</w:t>
      </w:r>
    </w:p>
    <w:p w14:paraId="75902FD5" w14:textId="77777777" w:rsidR="0010765C" w:rsidRDefault="00E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Realizzazione e diffusione di tutorial per personale e genitori sull’uso di G Suite, in particolare G Classro</w:t>
      </w:r>
      <w:r>
        <w:rPr>
          <w:rFonts w:ascii="Verdana" w:eastAsia="Verdana" w:hAnsi="Verdana" w:cs="Verdana"/>
          <w:color w:val="000000"/>
        </w:rPr>
        <w:t>om</w:t>
      </w:r>
    </w:p>
    <w:p w14:paraId="75902FD6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Verdana" w:eastAsia="Verdana" w:hAnsi="Verdana" w:cs="Verdana"/>
          <w:color w:val="000000"/>
        </w:rPr>
      </w:pPr>
    </w:p>
    <w:p w14:paraId="75902FD7" w14:textId="77777777" w:rsidR="0010765C" w:rsidRDefault="00E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 Pro" w:eastAsia="Verdana Pro" w:hAnsi="Verdana Pro" w:cs="Verdana Pro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Formazione </w:t>
      </w:r>
      <w:r>
        <w:rPr>
          <w:rFonts w:ascii="Verdana" w:eastAsia="Verdana" w:hAnsi="Verdana" w:cs="Verdana"/>
          <w:color w:val="000000"/>
        </w:rPr>
        <w:t>rivolta a docenti: l’animatore digitale dell’Istituto ha realizzato circa 30 interventi tra videolezioni, tutorial e indicazioni di materiale</w:t>
      </w:r>
    </w:p>
    <w:p w14:paraId="75902FD8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  <w:color w:val="000000"/>
        </w:rPr>
      </w:pPr>
    </w:p>
    <w:p w14:paraId="75902FD9" w14:textId="77777777" w:rsidR="0010765C" w:rsidRDefault="00E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Incontri di coordinamento</w:t>
      </w:r>
    </w:p>
    <w:p w14:paraId="75902FDA" w14:textId="77777777" w:rsidR="0010765C" w:rsidRDefault="00EB1E7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Videoconferenza con i docenti: 3 incontri, 4 ore circa  </w:t>
      </w:r>
    </w:p>
    <w:p w14:paraId="75902FDB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</w:rPr>
      </w:pPr>
    </w:p>
    <w:p w14:paraId="75902FDC" w14:textId="77777777" w:rsidR="0010765C" w:rsidRDefault="00EB1E7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Riunioni dei consigli di classe della secondaria: 6 – 7 aprile; classi parallele primaria 15-16-20 aprile, 17 </w:t>
      </w:r>
      <w:r>
        <w:rPr>
          <w:rFonts w:ascii="Verdana" w:eastAsia="Verdana" w:hAnsi="Verdana" w:cs="Verdana"/>
        </w:rPr>
        <w:t>aprile intersezione</w:t>
      </w:r>
      <w:r>
        <w:rPr>
          <w:rFonts w:ascii="Verdana" w:eastAsia="Verdana" w:hAnsi="Verdana" w:cs="Verdana"/>
        </w:rPr>
        <w:t xml:space="preserve"> infanzia. </w:t>
      </w:r>
    </w:p>
    <w:p w14:paraId="75902FDD" w14:textId="77777777" w:rsidR="0010765C" w:rsidRDefault="00EB1E7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Costituzione di un gruppo di coordinamento per l</w:t>
      </w:r>
      <w:r>
        <w:rPr>
          <w:rFonts w:ascii="Verdana" w:eastAsia="Verdana" w:hAnsi="Verdana" w:cs="Verdana"/>
        </w:rPr>
        <w:t>’esame di stato del I ciclo.</w:t>
      </w:r>
    </w:p>
    <w:p w14:paraId="75902FDE" w14:textId="77777777" w:rsidR="0010765C" w:rsidRDefault="00EB1E7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Autoconvocazione in videoconferenza delle commissioni; convocazione commissione per alunni adhd.</w:t>
      </w:r>
    </w:p>
    <w:p w14:paraId="75902FDF" w14:textId="77777777" w:rsidR="0010765C" w:rsidRDefault="00EB1E7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Convocazione in videoconferenza degli incontri per definizione pei finali.</w:t>
      </w:r>
    </w:p>
    <w:p w14:paraId="75902FE0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  <w:color w:val="000000"/>
        </w:rPr>
      </w:pPr>
    </w:p>
    <w:p w14:paraId="75902FE1" w14:textId="0AC67C40" w:rsidR="0010765C" w:rsidRPr="00C303BD" w:rsidRDefault="00EB1E73" w:rsidP="00C303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 Pro" w:eastAsia="Verdana Pro" w:hAnsi="Verdana Pro" w:cs="Verdana Pro"/>
          <w:color w:val="000000"/>
        </w:rPr>
      </w:pPr>
      <w:r>
        <w:rPr>
          <w:rFonts w:ascii="Verdana" w:eastAsia="Verdana" w:hAnsi="Verdana" w:cs="Verdana"/>
          <w:b/>
          <w:color w:val="000000"/>
        </w:rPr>
        <w:t>Gestio</w:t>
      </w:r>
      <w:r>
        <w:rPr>
          <w:rFonts w:ascii="Verdana" w:eastAsia="Verdana" w:hAnsi="Verdana" w:cs="Verdana"/>
          <w:b/>
          <w:color w:val="000000"/>
        </w:rPr>
        <w:t>ne personale ATA</w:t>
      </w:r>
      <w:r>
        <w:rPr>
          <w:rFonts w:ascii="Verdana" w:eastAsia="Verdana" w:hAnsi="Verdana" w:cs="Verdana"/>
          <w:color w:val="000000"/>
        </w:rPr>
        <w:t xml:space="preserve"> dell’Istituto: ridefinizione piano di lavoro con turnazioni, sospensione ricevimento del pubblico, riduzione apertura della segreteria (in presenza tre giorni alla settimana) e mantenimento del servizio telefonico e di posta elettronica, d</w:t>
      </w:r>
      <w:r>
        <w:rPr>
          <w:rFonts w:ascii="Verdana" w:eastAsia="Verdana" w:hAnsi="Verdana" w:cs="Verdana"/>
          <w:color w:val="000000"/>
        </w:rPr>
        <w:t xml:space="preserve">isposizioni e avvio lavoro agile della segreteria. </w:t>
      </w:r>
      <w:r w:rsidRPr="00C303BD">
        <w:rPr>
          <w:rFonts w:ascii="Verdana Pro" w:eastAsia="Verdana" w:hAnsi="Verdana Pro" w:cs="Verdana"/>
          <w:color w:val="000000"/>
        </w:rPr>
        <w:t>Ordini acquisto materiale per disinfezione ambienti.</w:t>
      </w:r>
    </w:p>
    <w:p w14:paraId="13CCDC96" w14:textId="3F3467B3" w:rsidR="00C303BD" w:rsidRPr="00C303BD" w:rsidRDefault="00C303BD" w:rsidP="00C303BD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Verdana Pro" w:eastAsia="Verdana Pro" w:hAnsi="Verdana Pro" w:cs="Verdana Pro"/>
          <w:b/>
          <w:color w:val="000000"/>
        </w:rPr>
      </w:pPr>
      <w:r w:rsidRPr="00C303BD">
        <w:rPr>
          <w:rFonts w:ascii="Verdana Pro" w:eastAsia="Verdana Pro" w:hAnsi="Verdana Pro" w:cs="Verdana Pro"/>
          <w:b/>
          <w:color w:val="000000"/>
        </w:rPr>
        <w:t>La segreteria è aperta lunedì, mercoledì, venerdì dalle 8:00 alle 13:30</w:t>
      </w:r>
    </w:p>
    <w:p w14:paraId="7B995945" w14:textId="587B0A01" w:rsidR="00C303BD" w:rsidRPr="00C303BD" w:rsidRDefault="00C303BD" w:rsidP="00C303BD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jc w:val="both"/>
        <w:rPr>
          <w:rFonts w:ascii="Verdana Pro" w:eastAsia="Verdana Pro" w:hAnsi="Verdana Pro" w:cs="Verdana Pro"/>
          <w:color w:val="000000"/>
        </w:rPr>
      </w:pPr>
      <w:r w:rsidRPr="00C303BD">
        <w:rPr>
          <w:rFonts w:ascii="Verdana Pro" w:eastAsia="Verdana Pro" w:hAnsi="Verdana Pro" w:cs="Verdana Pro"/>
          <w:color w:val="000000"/>
        </w:rPr>
        <w:t xml:space="preserve">È raggiungibile dal lunedì al venerdì chiamando il numero </w:t>
      </w:r>
      <w:r w:rsidRPr="00C303BD">
        <w:rPr>
          <w:rFonts w:ascii="Verdana Pro" w:eastAsia="Verdana Pro" w:hAnsi="Verdana Pro" w:cs="Verdana Pro"/>
          <w:b/>
          <w:color w:val="000000"/>
        </w:rPr>
        <w:t>0444-1813911</w:t>
      </w:r>
      <w:r w:rsidRPr="00C303BD">
        <w:rPr>
          <w:rFonts w:ascii="Verdana Pro" w:eastAsia="Verdana Pro" w:hAnsi="Verdana Pro" w:cs="Verdana Pro"/>
          <w:color w:val="000000"/>
        </w:rPr>
        <w:t xml:space="preserve"> o scrivendo a </w:t>
      </w:r>
      <w:r w:rsidRPr="00C303BD">
        <w:rPr>
          <w:rFonts w:ascii="Verdana Pro" w:eastAsia="Verdana Pro" w:hAnsi="Verdana Pro" w:cs="Verdana Pro"/>
          <w:b/>
          <w:color w:val="000000"/>
        </w:rPr>
        <w:t>viic86200a@istruzione.it</w:t>
      </w:r>
      <w:r w:rsidRPr="00C303BD">
        <w:rPr>
          <w:rFonts w:ascii="Verdana Pro" w:eastAsia="Verdana Pro" w:hAnsi="Verdana Pro" w:cs="Verdana Pro"/>
          <w:color w:val="000000"/>
        </w:rPr>
        <w:t>;</w:t>
      </w:r>
      <w:r w:rsidRPr="00C303BD">
        <w:rPr>
          <w:rFonts w:ascii="Verdana Pro" w:eastAsia="Verdana Pro" w:hAnsi="Verdana Pro" w:cs="Verdana Pro"/>
          <w:b/>
          <w:color w:val="000000"/>
        </w:rPr>
        <w:t xml:space="preserve"> </w:t>
      </w:r>
      <w:hyperlink r:id="rId7" w:history="1">
        <w:r w:rsidRPr="00C303BD">
          <w:rPr>
            <w:rStyle w:val="Collegamentoipertestuale"/>
            <w:rFonts w:ascii="Verdana Pro" w:eastAsia="Verdana Pro" w:hAnsi="Verdana Pro" w:cs="Verdana Pro"/>
            <w:b/>
          </w:rPr>
          <w:t>dirigente@icvicenza9.edu.it</w:t>
        </w:r>
      </w:hyperlink>
    </w:p>
    <w:p w14:paraId="75902FE2" w14:textId="77777777" w:rsidR="0010765C" w:rsidRPr="00C303BD" w:rsidRDefault="0010765C" w:rsidP="00C303B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 Pro" w:eastAsia="Verdana" w:hAnsi="Verdana Pro" w:cs="Verdana"/>
          <w:color w:val="000000"/>
        </w:rPr>
      </w:pPr>
    </w:p>
    <w:p w14:paraId="75902FE3" w14:textId="77777777" w:rsidR="0010765C" w:rsidRPr="00C303BD" w:rsidRDefault="00EB1E73" w:rsidP="00C303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 Pro" w:eastAsia="Verdana" w:hAnsi="Verdana Pro" w:cs="Verdana"/>
          <w:color w:val="000000"/>
        </w:rPr>
      </w:pPr>
      <w:r w:rsidRPr="00C303BD">
        <w:rPr>
          <w:rFonts w:ascii="Verdana Pro" w:eastAsia="Verdana" w:hAnsi="Verdana Pro" w:cs="Verdana"/>
          <w:b/>
          <w:color w:val="000000"/>
        </w:rPr>
        <w:t xml:space="preserve">Comodato </w:t>
      </w:r>
      <w:r w:rsidRPr="00C303BD">
        <w:rPr>
          <w:rFonts w:ascii="Verdana Pro" w:eastAsia="Verdana" w:hAnsi="Verdana Pro" w:cs="Verdana"/>
          <w:b/>
        </w:rPr>
        <w:t>d'uso dispositivi</w:t>
      </w:r>
      <w:r w:rsidRPr="00C303BD">
        <w:rPr>
          <w:rFonts w:ascii="Verdana Pro" w:eastAsia="Verdana" w:hAnsi="Verdana Pro" w:cs="Verdana"/>
          <w:b/>
          <w:color w:val="000000"/>
        </w:rPr>
        <w:t xml:space="preserve"> digitali per alunni</w:t>
      </w:r>
    </w:p>
    <w:p w14:paraId="75902FE4" w14:textId="77777777" w:rsidR="0010765C" w:rsidRDefault="00EB1E73" w:rsidP="00C303BD">
      <w:pPr>
        <w:ind w:left="720"/>
        <w:jc w:val="both"/>
        <w:rPr>
          <w:rFonts w:ascii="Verdana" w:eastAsia="Verdana" w:hAnsi="Verdana" w:cs="Verdana"/>
        </w:rPr>
      </w:pPr>
      <w:r w:rsidRPr="00C303BD">
        <w:rPr>
          <w:rFonts w:ascii="Verdana Pro" w:eastAsia="Verdana" w:hAnsi="Verdana Pro" w:cs="Verdana"/>
        </w:rPr>
        <w:t>Visto il decreto legge n.18 del 17 marzo 2020 e il decreto del ministro dell’istruzione n. 187 del</w:t>
      </w:r>
      <w:r>
        <w:rPr>
          <w:rFonts w:ascii="Verdana" w:eastAsia="Verdana" w:hAnsi="Verdana" w:cs="Verdana"/>
        </w:rPr>
        <w:t xml:space="preserve"> 26 marzo 2020 contenente il riparto delle risorse per l’apprendimento a distanza, l’Istituto sta attendendo la consegna di venti dispositivi da mettere a dis</w:t>
      </w:r>
      <w:r>
        <w:rPr>
          <w:rFonts w:ascii="Verdana" w:eastAsia="Verdana" w:hAnsi="Verdana" w:cs="Verdana"/>
        </w:rPr>
        <w:t>posizione degli studenti privi di tablet o pc. Ha predisposto 6 pc portatili della scuola da destinare in comodato d’uso. Sono in corso, inoltre, contatti con ACLI Vicenza per ottenere la disponibilità di 10 tablet da assegnare in comodato agli studenti. L</w:t>
      </w:r>
      <w:r>
        <w:rPr>
          <w:rFonts w:ascii="Verdana" w:eastAsia="Verdana" w:hAnsi="Verdana" w:cs="Verdana"/>
        </w:rPr>
        <w:t>a prossima settimana si provvede all’assegnazione.</w:t>
      </w:r>
    </w:p>
    <w:p w14:paraId="75902FE5" w14:textId="77777777" w:rsidR="0010765C" w:rsidRDefault="00EB1E73">
      <w:pPr>
        <w:numPr>
          <w:ilvl w:val="0"/>
          <w:numId w:val="13"/>
        </w:numPr>
        <w:spacing w:after="24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b/>
          <w:color w:val="222222"/>
        </w:rPr>
        <w:t>Criteri</w:t>
      </w:r>
    </w:p>
    <w:p w14:paraId="75902FE6" w14:textId="77777777" w:rsidR="0010765C" w:rsidRDefault="00EB1E73">
      <w:pPr>
        <w:spacing w:after="0"/>
        <w:ind w:left="36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La scuola assegna in comodato d'uso i propri dispositivi agli studenti meno abbienti privi di strumenti a seguito di segnalazione dei docenti e/o assistenti sociali ovvero su richiesta dei genitori</w:t>
      </w:r>
      <w:r>
        <w:rPr>
          <w:rFonts w:ascii="Verdana" w:eastAsia="Verdana" w:hAnsi="Verdana" w:cs="Verdana"/>
          <w:color w:val="222222"/>
        </w:rPr>
        <w:t>. L’accesso al comodato d’uso è prioritariamente destinato a studenti meno abbienti e nel rispetto dei criteri di accessibilità delle persone con disabilità.</w:t>
      </w:r>
    </w:p>
    <w:p w14:paraId="75902FE7" w14:textId="77777777" w:rsidR="0010765C" w:rsidRDefault="00EB1E73">
      <w:pPr>
        <w:spacing w:after="0"/>
        <w:ind w:left="36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Nel caso in cui le richieste superassero le disponibilità, tenuto conto di quanto riportato nei du</w:t>
      </w:r>
      <w:r>
        <w:rPr>
          <w:rFonts w:ascii="Verdana" w:eastAsia="Verdana" w:hAnsi="Verdana" w:cs="Verdana"/>
          <w:color w:val="222222"/>
        </w:rPr>
        <w:t xml:space="preserve">e precedenti capoversi, sarà stilata una graduatoria sulla base dei seguenti criteri: </w:t>
      </w:r>
    </w:p>
    <w:p w14:paraId="75902FE8" w14:textId="77777777" w:rsidR="0010765C" w:rsidRDefault="00EB1E73">
      <w:pPr>
        <w:spacing w:after="0"/>
        <w:ind w:left="36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1. alunni meno abbienti non in possesso di dispositivi e nel rispetto della accessibilità delle persone con disabilità;</w:t>
      </w:r>
    </w:p>
    <w:p w14:paraId="75902FE9" w14:textId="77777777" w:rsidR="0010765C" w:rsidRDefault="00EB1E73">
      <w:pPr>
        <w:spacing w:after="0"/>
        <w:ind w:left="36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2. alunni meno abbienti delle classi terze della scuola secondaria di primo grado non in possesso di dispositivi;</w:t>
      </w:r>
    </w:p>
    <w:p w14:paraId="75902FEA" w14:textId="77777777" w:rsidR="0010765C" w:rsidRDefault="00EB1E73">
      <w:pPr>
        <w:spacing w:after="0"/>
        <w:ind w:left="36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3. alunni meno abbienti appartenenti a nuclei familiari con più studenti iscritti nell'istituto</w:t>
      </w:r>
    </w:p>
    <w:p w14:paraId="75902FEB" w14:textId="77777777" w:rsidR="0010765C" w:rsidRDefault="00EB1E73">
      <w:pPr>
        <w:spacing w:before="240" w:after="0"/>
        <w:jc w:val="both"/>
        <w:rPr>
          <w:rFonts w:ascii="Verdana" w:eastAsia="Verdana" w:hAnsi="Verdana" w:cs="Verdana"/>
          <w:b/>
          <w:color w:val="222222"/>
        </w:rPr>
      </w:pPr>
      <w:r>
        <w:rPr>
          <w:rFonts w:ascii="Verdana" w:eastAsia="Verdana" w:hAnsi="Verdana" w:cs="Verdana"/>
          <w:color w:val="222222"/>
        </w:rPr>
        <w:lastRenderedPageBreak/>
        <w:t xml:space="preserve"> </w:t>
      </w:r>
      <w:r>
        <w:rPr>
          <w:rFonts w:ascii="Verdana" w:eastAsia="Verdana" w:hAnsi="Verdana" w:cs="Verdana"/>
          <w:color w:val="222222"/>
        </w:rPr>
        <w:tab/>
      </w:r>
      <w:r>
        <w:rPr>
          <w:rFonts w:ascii="Verdana" w:eastAsia="Verdana" w:hAnsi="Verdana" w:cs="Verdana"/>
          <w:b/>
          <w:color w:val="222222"/>
        </w:rPr>
        <w:t>Procedura di consegna</w:t>
      </w:r>
    </w:p>
    <w:p w14:paraId="75902FEC" w14:textId="77777777" w:rsidR="0010765C" w:rsidRDefault="00EB1E73">
      <w:pPr>
        <w:spacing w:after="240"/>
        <w:ind w:left="72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La segreteria contatta</w:t>
      </w:r>
      <w:r>
        <w:rPr>
          <w:rFonts w:ascii="Verdana" w:eastAsia="Verdana" w:hAnsi="Verdana" w:cs="Verdana"/>
          <w:color w:val="222222"/>
        </w:rPr>
        <w:t xml:space="preserve"> telefonicamente o via mail i genitori, fissa un appuntamento per la consegna fisica dello strumento che avviene presso la scuola secondaria </w:t>
      </w:r>
      <w:r>
        <w:rPr>
          <w:rFonts w:ascii="Verdana" w:eastAsia="Verdana" w:hAnsi="Verdana" w:cs="Verdana"/>
          <w:i/>
          <w:color w:val="222222"/>
        </w:rPr>
        <w:t>Ambrosoli</w:t>
      </w:r>
      <w:r>
        <w:rPr>
          <w:rFonts w:ascii="Verdana" w:eastAsia="Verdana" w:hAnsi="Verdana" w:cs="Verdana"/>
          <w:color w:val="222222"/>
        </w:rPr>
        <w:t xml:space="preserve"> (via Bellini, 106).</w:t>
      </w:r>
    </w:p>
    <w:p w14:paraId="75902FED" w14:textId="77777777" w:rsidR="0010765C" w:rsidRDefault="00EB1E73">
      <w:pPr>
        <w:spacing w:after="240"/>
        <w:ind w:left="720"/>
        <w:jc w:val="both"/>
        <w:rPr>
          <w:rFonts w:ascii="Verdana" w:eastAsia="Verdana" w:hAnsi="Verdana" w:cs="Verdana"/>
          <w:b/>
          <w:color w:val="222222"/>
        </w:rPr>
      </w:pPr>
      <w:r>
        <w:rPr>
          <w:rFonts w:ascii="Verdana" w:eastAsia="Verdana" w:hAnsi="Verdana" w:cs="Verdana"/>
          <w:color w:val="222222"/>
        </w:rPr>
        <w:t>All’atto della consegna, il genitore sottoscrive un contratto di comodato d’uso che o</w:t>
      </w:r>
      <w:r>
        <w:rPr>
          <w:rFonts w:ascii="Verdana" w:eastAsia="Verdana" w:hAnsi="Verdana" w:cs="Verdana"/>
          <w:color w:val="222222"/>
        </w:rPr>
        <w:t>bbliga a custodire il bene sopra indicato con cura e massima diligenza e a restituirlo appena cessato lo stato di necessità.</w:t>
      </w:r>
    </w:p>
    <w:p w14:paraId="75902FEE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80"/>
        <w:jc w:val="both"/>
        <w:rPr>
          <w:rFonts w:ascii="Verdana" w:eastAsia="Verdana" w:hAnsi="Verdana" w:cs="Verdana"/>
          <w:color w:val="222222"/>
        </w:rPr>
      </w:pPr>
    </w:p>
    <w:p w14:paraId="75902FEF" w14:textId="77777777" w:rsidR="0010765C" w:rsidRDefault="00E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222222"/>
        </w:rPr>
      </w:pPr>
      <w:r>
        <w:rPr>
          <w:rFonts w:ascii="Verdana" w:eastAsia="Verdana" w:hAnsi="Verdana" w:cs="Verdana"/>
          <w:b/>
          <w:color w:val="222222"/>
        </w:rPr>
        <w:t>Sportello psicologico</w:t>
      </w:r>
    </w:p>
    <w:p w14:paraId="75902FF0" w14:textId="77777777" w:rsidR="0010765C" w:rsidRDefault="00EB1E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 xml:space="preserve">È attivo lo sportello psicologico on line rivolto agli studenti curato dal dott. Piffer, psicologo scolastico. Lo sportello è attivabile via mail e comporta appuntamenti in video o telefonici di venerdì mattina. </w:t>
      </w:r>
    </w:p>
    <w:p w14:paraId="75902FF1" w14:textId="77777777" w:rsidR="0010765C" w:rsidRDefault="0010765C">
      <w:pPr>
        <w:jc w:val="both"/>
        <w:rPr>
          <w:rFonts w:ascii="Verdana" w:eastAsia="Verdana" w:hAnsi="Verdana" w:cs="Verdana"/>
        </w:rPr>
      </w:pPr>
    </w:p>
    <w:p w14:paraId="75902FF2" w14:textId="77777777" w:rsidR="0010765C" w:rsidRDefault="00E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Modalità di funzionamento della didattica a distanza</w:t>
      </w:r>
    </w:p>
    <w:p w14:paraId="75902FF3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  <w:color w:val="000000"/>
        </w:rPr>
      </w:pPr>
    </w:p>
    <w:p w14:paraId="75902FF4" w14:textId="77777777" w:rsidR="0010765C" w:rsidRDefault="00EB1E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Consegna elaborati</w:t>
      </w:r>
    </w:p>
    <w:p w14:paraId="75902FF5" w14:textId="77777777" w:rsidR="0010765C" w:rsidRDefault="00EB1E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Le consegne del lavoro svolto autonomamente dagli studenti sono riportate nel registro elettronico e in G classroom, se attivata dal docente.</w:t>
      </w:r>
    </w:p>
    <w:p w14:paraId="75902FF6" w14:textId="77777777" w:rsidR="0010765C" w:rsidRDefault="00EB1E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Per la consegna del lavoro svolto, di norma, il docente prevede una settimana di tempo.</w:t>
      </w:r>
    </w:p>
    <w:p w14:paraId="75902FF7" w14:textId="77777777" w:rsidR="0010765C" w:rsidRDefault="00EB1E7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Nella valutazione dei tempi necessari per svolgere un compito, il docente tiene in considerazione il parametro che “ogni attività svolta con didattica a distanza richie</w:t>
      </w:r>
      <w:r>
        <w:rPr>
          <w:rFonts w:ascii="Verdana" w:eastAsia="Verdana" w:hAnsi="Verdana" w:cs="Verdana"/>
          <w:color w:val="000000"/>
        </w:rPr>
        <w:t>de circa il doppio del tempio di una attività simile svolta in presenza”.</w:t>
      </w:r>
    </w:p>
    <w:p w14:paraId="75902FF8" w14:textId="77777777" w:rsidR="0010765C" w:rsidRDefault="00EB1E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La data di consegna dei compiti è indicata dal docente nel registro elettronico e in G classroom, se attivata.</w:t>
      </w:r>
    </w:p>
    <w:p w14:paraId="75902FF9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  <w:b/>
          <w:color w:val="000000"/>
        </w:rPr>
      </w:pPr>
    </w:p>
    <w:p w14:paraId="75902FFA" w14:textId="77777777" w:rsidR="0010765C" w:rsidRDefault="00EB1E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Valutazione di elaborati</w:t>
      </w:r>
    </w:p>
    <w:p w14:paraId="75902FFB" w14:textId="77777777" w:rsidR="0010765C" w:rsidRDefault="00EB1E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La valutazione è sempre formativa; ed è intesa a mettere in evidenza i progressi compiuti dallo studente.</w:t>
      </w:r>
    </w:p>
    <w:p w14:paraId="75902FFC" w14:textId="77777777" w:rsidR="0010765C" w:rsidRDefault="00EB1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docente annota nell’area osservazioni del registro elettronico se l’alunno ha consegnato il compito, se ha rispettato i tempi e utilizza gli indica</w:t>
      </w:r>
      <w:r>
        <w:rPr>
          <w:rFonts w:ascii="Verdana" w:eastAsia="Verdana" w:hAnsi="Verdana" w:cs="Verdana"/>
          <w:color w:val="000000"/>
        </w:rPr>
        <w:t>tori già in uso nella scuola per descrivere la qualità del lavoro prodotto dallo studente.</w:t>
      </w:r>
    </w:p>
    <w:p w14:paraId="75902FFD" w14:textId="77777777" w:rsidR="0010765C" w:rsidRDefault="00EB1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 docente restituisce sempre allo studente indicazioni sulla correttezza dell’elaborato consegnato e indicazioni per apportare le correzioni necessarie. </w:t>
      </w:r>
    </w:p>
    <w:p w14:paraId="75902FFE" w14:textId="77777777" w:rsidR="0010765C" w:rsidRDefault="00EB1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docente</w:t>
      </w:r>
      <w:r>
        <w:rPr>
          <w:rFonts w:ascii="Verdana" w:eastAsia="Verdana" w:hAnsi="Verdana" w:cs="Verdana"/>
          <w:color w:val="000000"/>
        </w:rPr>
        <w:t xml:space="preserve"> applica la seguente griglia </w:t>
      </w:r>
      <w:r>
        <w:rPr>
          <w:rFonts w:ascii="Verdana" w:eastAsia="Verdana" w:hAnsi="Verdana" w:cs="Verdana"/>
        </w:rPr>
        <w:t>valutativa di</w:t>
      </w:r>
      <w:r>
        <w:rPr>
          <w:rFonts w:ascii="Verdana" w:eastAsia="Verdana" w:hAnsi="Verdana" w:cs="Verdana"/>
        </w:rPr>
        <w:t xml:space="preserve"> sintesi del percorso svolto dall’alunno</w:t>
      </w:r>
      <w:r>
        <w:rPr>
          <w:rFonts w:ascii="Verdana" w:eastAsia="Verdana" w:hAnsi="Verdana" w:cs="Verdana"/>
          <w:color w:val="000000"/>
        </w:rPr>
        <w:t>:</w:t>
      </w:r>
    </w:p>
    <w:p w14:paraId="75902FFF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ind w:left="1068" w:hanging="720"/>
        <w:jc w:val="both"/>
        <w:rPr>
          <w:rFonts w:ascii="Verdana" w:eastAsia="Verdana" w:hAnsi="Verdana" w:cs="Verdana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456"/>
        <w:gridCol w:w="1457"/>
        <w:gridCol w:w="1761"/>
        <w:gridCol w:w="1775"/>
        <w:gridCol w:w="1664"/>
      </w:tblGrid>
      <w:tr w:rsidR="0010765C" w14:paraId="75903001" w14:textId="77777777">
        <w:tc>
          <w:tcPr>
            <w:tcW w:w="9628" w:type="dxa"/>
            <w:gridSpan w:val="6"/>
          </w:tcPr>
          <w:p w14:paraId="75903000" w14:textId="77777777" w:rsidR="0010765C" w:rsidRDefault="00EB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68" w:hanging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Elaborati scritti - grafici</w:t>
            </w:r>
          </w:p>
        </w:tc>
      </w:tr>
      <w:tr w:rsidR="0010765C" w14:paraId="75903005" w14:textId="77777777">
        <w:tc>
          <w:tcPr>
            <w:tcW w:w="1515" w:type="dxa"/>
          </w:tcPr>
          <w:p w14:paraId="75903002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Nome alunno</w:t>
            </w:r>
          </w:p>
        </w:tc>
        <w:tc>
          <w:tcPr>
            <w:tcW w:w="2913" w:type="dxa"/>
            <w:gridSpan w:val="2"/>
          </w:tcPr>
          <w:p w14:paraId="75903003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comportamento</w:t>
            </w:r>
          </w:p>
        </w:tc>
        <w:tc>
          <w:tcPr>
            <w:tcW w:w="5200" w:type="dxa"/>
            <w:gridSpan w:val="3"/>
          </w:tcPr>
          <w:p w14:paraId="75903004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Profitto (secondo criteri di valutazione del profitto della scuola)</w:t>
            </w:r>
          </w:p>
        </w:tc>
      </w:tr>
      <w:tr w:rsidR="0010765C" w14:paraId="7590300C" w14:textId="77777777">
        <w:tc>
          <w:tcPr>
            <w:tcW w:w="1515" w:type="dxa"/>
          </w:tcPr>
          <w:p w14:paraId="75903006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456" w:type="dxa"/>
          </w:tcPr>
          <w:p w14:paraId="75903007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Riconsegna i lavori (Sempre/a volte/mai)</w:t>
            </w:r>
          </w:p>
        </w:tc>
        <w:tc>
          <w:tcPr>
            <w:tcW w:w="1457" w:type="dxa"/>
          </w:tcPr>
          <w:p w14:paraId="75903008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È puntuale nella consegna</w:t>
            </w:r>
          </w:p>
        </w:tc>
        <w:tc>
          <w:tcPr>
            <w:tcW w:w="1761" w:type="dxa"/>
          </w:tcPr>
          <w:p w14:paraId="75903009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Conosce…</w:t>
            </w:r>
          </w:p>
        </w:tc>
        <w:tc>
          <w:tcPr>
            <w:tcW w:w="1775" w:type="dxa"/>
          </w:tcPr>
          <w:p w14:paraId="7590300A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comprende i contenuti</w:t>
            </w:r>
          </w:p>
        </w:tc>
        <w:tc>
          <w:tcPr>
            <w:tcW w:w="1664" w:type="dxa"/>
          </w:tcPr>
          <w:p w14:paraId="7590300B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organizza e applica</w:t>
            </w:r>
          </w:p>
        </w:tc>
      </w:tr>
      <w:tr w:rsidR="0010765C" w14:paraId="75903013" w14:textId="77777777">
        <w:tc>
          <w:tcPr>
            <w:tcW w:w="1515" w:type="dxa"/>
          </w:tcPr>
          <w:p w14:paraId="7590300D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xxx</w:t>
            </w:r>
          </w:p>
        </w:tc>
        <w:tc>
          <w:tcPr>
            <w:tcW w:w="1456" w:type="dxa"/>
          </w:tcPr>
          <w:p w14:paraId="7590300E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457" w:type="dxa"/>
          </w:tcPr>
          <w:p w14:paraId="7590300F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761" w:type="dxa"/>
          </w:tcPr>
          <w:p w14:paraId="75903010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775" w:type="dxa"/>
          </w:tcPr>
          <w:p w14:paraId="75903011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664" w:type="dxa"/>
          </w:tcPr>
          <w:p w14:paraId="75903012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75903014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  <w:color w:val="000000"/>
        </w:rPr>
      </w:pPr>
    </w:p>
    <w:p w14:paraId="75903015" w14:textId="77777777" w:rsidR="0010765C" w:rsidRDefault="00EB1E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G Classroom</w:t>
      </w:r>
    </w:p>
    <w:p w14:paraId="75903016" w14:textId="77777777" w:rsidR="0010765C" w:rsidRDefault="00EB1E73">
      <w:pPr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funzionalità G classroom è a disposizione delle classi della secondaria dal 16 marzo 2020.</w:t>
      </w:r>
    </w:p>
    <w:p w14:paraId="75903017" w14:textId="77777777" w:rsidR="0010765C" w:rsidRDefault="00EB1E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Ogni </w:t>
      </w:r>
      <w:r>
        <w:rPr>
          <w:rFonts w:ascii="Verdana" w:eastAsia="Verdana" w:hAnsi="Verdana" w:cs="Verdana"/>
        </w:rPr>
        <w:t>docente crea</w:t>
      </w:r>
      <w:r>
        <w:rPr>
          <w:rFonts w:ascii="Verdana" w:eastAsia="Verdana" w:hAnsi="Verdana" w:cs="Verdana"/>
        </w:rPr>
        <w:t xml:space="preserve"> il proprio corso invitando gli studenti interessati attraverso invio di un codice o attraverso invio di un link.</w:t>
      </w:r>
    </w:p>
    <w:p w14:paraId="75903018" w14:textId="77777777" w:rsidR="0010765C" w:rsidRDefault="00EB1E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docente di materia invita al</w:t>
      </w:r>
      <w:r>
        <w:rPr>
          <w:rFonts w:ascii="Verdana" w:eastAsia="Verdana" w:hAnsi="Verdana" w:cs="Verdana"/>
        </w:rPr>
        <w:t xml:space="preserve"> corso anche il docente di sostegno. Il docente di sostegno può attivare anch’esso un corso invitando l’alunno che segue in modo speciale o, se lo ritiene, l’intera classe di riferimento.</w:t>
      </w:r>
    </w:p>
    <w:p w14:paraId="75903019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</w:rPr>
      </w:pPr>
    </w:p>
    <w:p w14:paraId="7590301A" w14:textId="77777777" w:rsidR="0010765C" w:rsidRDefault="00EB1E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G Meet</w:t>
      </w:r>
    </w:p>
    <w:p w14:paraId="7590301B" w14:textId="77777777" w:rsidR="0010765C" w:rsidRDefault="00EB1E73">
      <w:pPr>
        <w:ind w:left="1428" w:hanging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funzionalità G Meet è a disposizione delle classi della s</w:t>
      </w:r>
      <w:r>
        <w:rPr>
          <w:rFonts w:ascii="Verdana" w:eastAsia="Verdana" w:hAnsi="Verdana" w:cs="Verdana"/>
        </w:rPr>
        <w:t>econdaria dal 18 marzo 2020</w:t>
      </w:r>
    </w:p>
    <w:p w14:paraId="7590301C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docenti utilizzano la funzionalità G Meet per incontri in modalità sincrona che prevede il collegamento contemporaneo degli studenti invitati o in modalità asincrona attraverso l’invio di registrazioni che non richiedono il collegamento in contemporanea.</w:t>
      </w:r>
    </w:p>
    <w:p w14:paraId="7590301D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Verdana" w:eastAsia="Verdana" w:hAnsi="Verdana" w:cs="Verdana"/>
        </w:rPr>
      </w:pPr>
    </w:p>
    <w:p w14:paraId="7590301E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docenti condividono in Classroom il codice o il link di accesso all’incontro programmato.</w:t>
      </w:r>
    </w:p>
    <w:p w14:paraId="7590301F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Verdana" w:eastAsia="Verdana" w:hAnsi="Verdana" w:cs="Verdana"/>
        </w:rPr>
      </w:pPr>
    </w:p>
    <w:p w14:paraId="75903020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 Pro" w:eastAsia="Verdana Pro" w:hAnsi="Verdana Pro" w:cs="Verdana Pro"/>
        </w:rPr>
      </w:pPr>
      <w:r>
        <w:rPr>
          <w:rFonts w:ascii="Verdana" w:eastAsia="Verdana" w:hAnsi="Verdana" w:cs="Verdana"/>
          <w:b/>
        </w:rPr>
        <w:t>Calendario: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dal 13 aprile,</w:t>
      </w:r>
      <w:r>
        <w:rPr>
          <w:rFonts w:ascii="Verdana" w:eastAsia="Verdana" w:hAnsi="Verdana" w:cs="Verdana"/>
        </w:rPr>
        <w:t xml:space="preserve"> i docenti adottano un calendario settimanale dei video-incontri programmati in modalità sincrona della classe.Il singolo collegamento </w:t>
      </w:r>
      <w:r>
        <w:rPr>
          <w:rFonts w:ascii="Verdana" w:eastAsia="Verdana" w:hAnsi="Verdana" w:cs="Verdana"/>
        </w:rPr>
        <w:t xml:space="preserve">video ha una durata di circa 30 minuti e settimanalmente può raggiungere l’equivalente della metà delle ore curricolari settimanali previste per singola disciplina.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>n base alle esigenze didattiche, il docente titolare di più discipline può programmare lib</w:t>
      </w:r>
      <w:r>
        <w:rPr>
          <w:rFonts w:ascii="Verdana" w:eastAsia="Verdana" w:hAnsi="Verdana" w:cs="Verdana"/>
        </w:rPr>
        <w:t>eramente l’alternarsi delle materie:</w:t>
      </w:r>
    </w:p>
    <w:p w14:paraId="75903021" w14:textId="77777777" w:rsidR="0010765C" w:rsidRDefault="00EB1E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italiano: fino a 3 ore settimanali</w:t>
      </w:r>
    </w:p>
    <w:p w14:paraId="75903022" w14:textId="77777777" w:rsidR="0010765C" w:rsidRDefault="00EB1E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storia e geografia: fino a 2 ore settimanali</w:t>
      </w:r>
    </w:p>
    <w:p w14:paraId="75903023" w14:textId="77777777" w:rsidR="0010765C" w:rsidRDefault="00EB1E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matematica e scienze: fino a 4,5 ore settimanali</w:t>
      </w:r>
    </w:p>
    <w:p w14:paraId="75903024" w14:textId="77777777" w:rsidR="0010765C" w:rsidRDefault="00EB1E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arte, tecnologia, ed. fisica, musica: fino a 1 ora settimanale</w:t>
      </w:r>
    </w:p>
    <w:p w14:paraId="75903025" w14:textId="77777777" w:rsidR="0010765C" w:rsidRDefault="00EB1E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inglese: fino a 1,5 ore settimanali</w:t>
      </w:r>
    </w:p>
    <w:p w14:paraId="75903026" w14:textId="77777777" w:rsidR="0010765C" w:rsidRDefault="00EB1E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spagnolo: fino a 1 ora settimanale</w:t>
      </w:r>
    </w:p>
    <w:p w14:paraId="75903027" w14:textId="77777777" w:rsidR="0010765C" w:rsidRDefault="00EB1E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religione/aairc: fino a 30 minuti settimanali</w:t>
      </w:r>
    </w:p>
    <w:p w14:paraId="75903028" w14:textId="77777777" w:rsidR="0010765C" w:rsidRDefault="00EB1E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sostegno: il docente si raccorda con i colleghi e valuta i tempi in base alle necessità dell’allievo.</w:t>
      </w:r>
    </w:p>
    <w:p w14:paraId="75903029" w14:textId="77777777" w:rsidR="0010765C" w:rsidRDefault="0010765C">
      <w:pPr>
        <w:spacing w:after="0"/>
        <w:ind w:left="1980"/>
        <w:jc w:val="both"/>
        <w:rPr>
          <w:rFonts w:ascii="Verdana" w:eastAsia="Verdana" w:hAnsi="Verdana" w:cs="Verdana"/>
        </w:rPr>
      </w:pPr>
    </w:p>
    <w:p w14:paraId="7590302A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video-incontri, di norma, vengono programmati tra le 8:00 e le 13:00, se necessario possono essere concordati tra docente e studenti anche di pomeriggi</w:t>
      </w:r>
      <w:r>
        <w:rPr>
          <w:rFonts w:ascii="Verdana" w:eastAsia="Verdana" w:hAnsi="Verdana" w:cs="Verdana"/>
        </w:rPr>
        <w:t>o, ma non oltre le ore 18:00.</w:t>
      </w:r>
    </w:p>
    <w:p w14:paraId="7590302B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Verdana" w:eastAsia="Verdana" w:hAnsi="Verdana" w:cs="Verdana"/>
          <w:color w:val="FF0000"/>
        </w:rPr>
      </w:pPr>
    </w:p>
    <w:p w14:paraId="7590302C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L’accesso ai video-incontri è consentito sempre con videocamera e microfono disattivati. Eventuale attivazione sarà richiesta dal docente durante la video conferenza.</w:t>
      </w:r>
    </w:p>
    <w:p w14:paraId="7590302D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Verdana" w:eastAsia="Verdana" w:hAnsi="Verdana" w:cs="Verdana"/>
          <w:color w:val="000000"/>
        </w:rPr>
      </w:pPr>
    </w:p>
    <w:p w14:paraId="7590302E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Solo il docente può invitare altri partecipanti alla sess</w:t>
      </w:r>
      <w:r>
        <w:rPr>
          <w:rFonts w:ascii="Verdana" w:eastAsia="Verdana" w:hAnsi="Verdana" w:cs="Verdana"/>
          <w:color w:val="000000"/>
        </w:rPr>
        <w:t>ione, silenziare un partecipante, rimuoverlo dal ruolo di partecipante, accettare una richiesta di partecipazione.</w:t>
      </w:r>
    </w:p>
    <w:p w14:paraId="7590302F" w14:textId="77777777" w:rsidR="0010765C" w:rsidRDefault="0010765C">
      <w:pPr>
        <w:spacing w:after="0"/>
        <w:jc w:val="both"/>
        <w:rPr>
          <w:rFonts w:ascii="Verdana" w:eastAsia="Verdana" w:hAnsi="Verdana" w:cs="Verdana"/>
          <w:color w:val="000000"/>
        </w:rPr>
      </w:pPr>
    </w:p>
    <w:p w14:paraId="75903030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Gli studenti sono tenuti a presentarsi alla video lezione provvisti del materiale necessario per lo svolgimento dell’attività: libro di testo, fogli per gli appunti.</w:t>
      </w:r>
    </w:p>
    <w:p w14:paraId="75903031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Verdana" w:eastAsia="Verdana" w:hAnsi="Verdana" w:cs="Verdana"/>
          <w:color w:val="000000"/>
        </w:rPr>
      </w:pPr>
    </w:p>
    <w:p w14:paraId="75903032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Anche nella formazione a distanza valgono le regole già utilizzate nell’insegnamento in p</w:t>
      </w:r>
      <w:r>
        <w:rPr>
          <w:rFonts w:ascii="Verdana" w:eastAsia="Verdana" w:hAnsi="Verdana" w:cs="Verdana"/>
          <w:color w:val="000000"/>
        </w:rPr>
        <w:t>resenza. I partecipanti sono pregati di:</w:t>
      </w:r>
    </w:p>
    <w:p w14:paraId="75903033" w14:textId="77777777" w:rsidR="0010765C" w:rsidRDefault="00EB1E7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entrare con puntualità nell’aula virtuale</w:t>
      </w:r>
    </w:p>
    <w:p w14:paraId="75903034" w14:textId="77777777" w:rsidR="0010765C" w:rsidRDefault="00EB1E7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rispettare le consegne del docente</w:t>
      </w:r>
    </w:p>
    <w:p w14:paraId="75903035" w14:textId="77777777" w:rsidR="0010765C" w:rsidRDefault="00EB1E7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partecipare ordinatamente ai lavori che si svolgono</w:t>
      </w:r>
    </w:p>
    <w:p w14:paraId="75903036" w14:textId="77777777" w:rsidR="0010765C" w:rsidRDefault="00EB1E7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presentarsi ed esprimersi in maniera consona ed adeguata all'ambiente di apprendimento</w:t>
      </w:r>
    </w:p>
    <w:p w14:paraId="75903037" w14:textId="77777777" w:rsidR="0010765C" w:rsidRDefault="00EB1E7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rispettare il turno di parola che è concesso dal docente.</w:t>
      </w:r>
    </w:p>
    <w:p w14:paraId="75903038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2160" w:hanging="720"/>
        <w:jc w:val="both"/>
        <w:rPr>
          <w:rFonts w:ascii="Verdana" w:eastAsia="Verdana" w:hAnsi="Verdana" w:cs="Verdana"/>
          <w:color w:val="000000"/>
        </w:rPr>
      </w:pPr>
    </w:p>
    <w:p w14:paraId="75903039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Gli alunni possono comunicare i loro interventi tramite chat interna alla videoconferenza oppure attivando il loro microfono solo per il tempo necessario.</w:t>
      </w:r>
    </w:p>
    <w:p w14:paraId="7590303A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Qualora un partecipante dovesse uscire inavvertitamente dalla sessione di lavoro, può rientrarvi imme</w:t>
      </w:r>
      <w:r>
        <w:rPr>
          <w:rFonts w:ascii="Verdana" w:eastAsia="Verdana" w:hAnsi="Verdana" w:cs="Verdana"/>
          <w:color w:val="000000"/>
        </w:rPr>
        <w:t>diatamente eseguendo nuovamente la procedura iniziale di accesso (cliccando sul link presente in classroom).</w:t>
      </w:r>
    </w:p>
    <w:p w14:paraId="7590303B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docente, una volta terminata la videoconferenza, verificherà che tutti gli studenti si siano disconnessi e solo successivamente abbandonerà la s</w:t>
      </w:r>
      <w:r>
        <w:rPr>
          <w:rFonts w:ascii="Verdana" w:eastAsia="Verdana" w:hAnsi="Verdana" w:cs="Verdana"/>
          <w:color w:val="000000"/>
        </w:rPr>
        <w:t>essione.</w:t>
      </w:r>
    </w:p>
    <w:p w14:paraId="7590303C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data e l’ora della video lezione è indicata anche del registro elettronico.</w:t>
      </w:r>
    </w:p>
    <w:p w14:paraId="7590303D" w14:textId="77777777" w:rsidR="0010765C" w:rsidRDefault="00107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</w:rPr>
      </w:pPr>
    </w:p>
    <w:p w14:paraId="7590303E" w14:textId="77777777" w:rsidR="0010765C" w:rsidRDefault="00E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Valutazione attività in video</w:t>
      </w:r>
    </w:p>
    <w:p w14:paraId="7590303F" w14:textId="77777777" w:rsidR="0010765C" w:rsidRDefault="00EB1E73">
      <w:pPr>
        <w:spacing w:after="0"/>
        <w:ind w:left="720"/>
        <w:jc w:val="both"/>
        <w:rPr>
          <w:rFonts w:ascii="Verdana" w:eastAsia="Verdana" w:hAnsi="Verdana" w:cs="Verdana"/>
        </w:rPr>
      </w:pPr>
      <w:bookmarkStart w:id="0" w:name="_30j0zll" w:colFirst="0" w:colLast="0"/>
      <w:bookmarkEnd w:id="0"/>
      <w:r>
        <w:rPr>
          <w:rFonts w:ascii="Verdana" w:eastAsia="Verdana" w:hAnsi="Verdana" w:cs="Verdana"/>
        </w:rPr>
        <w:t>Anche per l’attività svolta in modalità videoconferenza il docente esprime una valutazione formativa complessiva secondo la griglia segue</w:t>
      </w:r>
      <w:r>
        <w:rPr>
          <w:rFonts w:ascii="Verdana" w:eastAsia="Verdana" w:hAnsi="Verdana" w:cs="Verdana"/>
        </w:rPr>
        <w:t>nte:</w:t>
      </w:r>
    </w:p>
    <w:p w14:paraId="75903040" w14:textId="77777777" w:rsidR="0010765C" w:rsidRDefault="0010765C">
      <w:pPr>
        <w:spacing w:after="0"/>
        <w:ind w:left="1416"/>
        <w:jc w:val="both"/>
        <w:rPr>
          <w:rFonts w:ascii="Verdana" w:eastAsia="Verdana" w:hAnsi="Verdana" w:cs="Verdana"/>
          <w:color w:val="FF000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3"/>
        <w:gridCol w:w="1917"/>
        <w:gridCol w:w="1631"/>
        <w:gridCol w:w="1559"/>
        <w:gridCol w:w="1686"/>
        <w:gridCol w:w="1522"/>
      </w:tblGrid>
      <w:tr w:rsidR="0010765C" w14:paraId="75903042" w14:textId="77777777">
        <w:tc>
          <w:tcPr>
            <w:tcW w:w="9628" w:type="dxa"/>
            <w:gridSpan w:val="6"/>
          </w:tcPr>
          <w:p w14:paraId="75903041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Video lezioni</w:t>
            </w:r>
          </w:p>
        </w:tc>
      </w:tr>
      <w:tr w:rsidR="0010765C" w14:paraId="7590304A" w14:textId="77777777">
        <w:tc>
          <w:tcPr>
            <w:tcW w:w="1313" w:type="dxa"/>
            <w:vMerge w:val="restart"/>
          </w:tcPr>
          <w:p w14:paraId="75903043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Nome alunno</w:t>
            </w:r>
          </w:p>
          <w:p w14:paraId="75903044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14:paraId="75903045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14:paraId="75903046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14:paraId="75903047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xxx</w:t>
            </w:r>
          </w:p>
        </w:tc>
        <w:tc>
          <w:tcPr>
            <w:tcW w:w="3548" w:type="dxa"/>
            <w:gridSpan w:val="2"/>
          </w:tcPr>
          <w:p w14:paraId="75903048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comportamento…(vedi criteri di valutazione del comportamento della scuola)</w:t>
            </w:r>
          </w:p>
        </w:tc>
        <w:tc>
          <w:tcPr>
            <w:tcW w:w="4767" w:type="dxa"/>
            <w:gridSpan w:val="3"/>
          </w:tcPr>
          <w:p w14:paraId="75903049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Profitto (vedi criteri di valutazione del profitto della scuola)</w:t>
            </w:r>
          </w:p>
        </w:tc>
      </w:tr>
      <w:tr w:rsidR="0010765C" w14:paraId="75903051" w14:textId="77777777">
        <w:tc>
          <w:tcPr>
            <w:tcW w:w="1313" w:type="dxa"/>
            <w:vMerge/>
          </w:tcPr>
          <w:p w14:paraId="7590304B" w14:textId="77777777" w:rsidR="0010765C" w:rsidRDefault="0010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17" w:type="dxa"/>
          </w:tcPr>
          <w:p w14:paraId="7590304C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Partecipazione</w:t>
            </w:r>
          </w:p>
        </w:tc>
        <w:tc>
          <w:tcPr>
            <w:tcW w:w="1631" w:type="dxa"/>
          </w:tcPr>
          <w:p w14:paraId="7590304D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Capacità relazionale</w:t>
            </w:r>
          </w:p>
        </w:tc>
        <w:tc>
          <w:tcPr>
            <w:tcW w:w="1559" w:type="dxa"/>
          </w:tcPr>
          <w:p w14:paraId="7590304E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Conosce…</w:t>
            </w:r>
          </w:p>
        </w:tc>
        <w:tc>
          <w:tcPr>
            <w:tcW w:w="1686" w:type="dxa"/>
          </w:tcPr>
          <w:p w14:paraId="7590304F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Comprende …</w:t>
            </w:r>
          </w:p>
        </w:tc>
        <w:tc>
          <w:tcPr>
            <w:tcW w:w="1522" w:type="dxa"/>
          </w:tcPr>
          <w:p w14:paraId="75903050" w14:textId="77777777" w:rsidR="0010765C" w:rsidRDefault="00EB1E73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organizza e applica</w:t>
            </w:r>
          </w:p>
        </w:tc>
      </w:tr>
      <w:tr w:rsidR="0010765C" w14:paraId="75903058" w14:textId="77777777">
        <w:tc>
          <w:tcPr>
            <w:tcW w:w="1313" w:type="dxa"/>
            <w:vMerge/>
          </w:tcPr>
          <w:p w14:paraId="75903052" w14:textId="77777777" w:rsidR="0010765C" w:rsidRDefault="0010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17" w:type="dxa"/>
          </w:tcPr>
          <w:p w14:paraId="75903053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631" w:type="dxa"/>
          </w:tcPr>
          <w:p w14:paraId="75903054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559" w:type="dxa"/>
          </w:tcPr>
          <w:p w14:paraId="75903055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686" w:type="dxa"/>
          </w:tcPr>
          <w:p w14:paraId="75903056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522" w:type="dxa"/>
          </w:tcPr>
          <w:p w14:paraId="75903057" w14:textId="77777777" w:rsidR="0010765C" w:rsidRDefault="0010765C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75903059" w14:textId="77777777" w:rsidR="0010765C" w:rsidRDefault="0010765C">
      <w:pPr>
        <w:spacing w:after="0"/>
        <w:ind w:left="1416"/>
        <w:jc w:val="both"/>
        <w:rPr>
          <w:rFonts w:ascii="Verdana" w:eastAsia="Verdana" w:hAnsi="Verdana" w:cs="Verdana"/>
          <w:color w:val="FF0000"/>
        </w:rPr>
      </w:pPr>
    </w:p>
    <w:p w14:paraId="7590305A" w14:textId="77777777" w:rsidR="0010765C" w:rsidRDefault="0010765C">
      <w:pPr>
        <w:spacing w:after="0"/>
        <w:jc w:val="both"/>
        <w:rPr>
          <w:rFonts w:ascii="Verdana" w:eastAsia="Verdana" w:hAnsi="Verdana" w:cs="Verdana"/>
        </w:rPr>
      </w:pPr>
    </w:p>
    <w:p w14:paraId="7590305B" w14:textId="77777777" w:rsidR="0010765C" w:rsidRDefault="00E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Mail</w:t>
      </w:r>
    </w:p>
    <w:p w14:paraId="7590305C" w14:textId="77777777" w:rsidR="0010765C" w:rsidRDefault="00EB1E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 docenti possono essere contattati tramite mail istituzionale consultabile nel registro elettronico e nel sito della scuola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www.icvicenza9.edu.it</w:t>
        </w:r>
      </w:hyperlink>
      <w:r>
        <w:rPr>
          <w:rFonts w:ascii="Verdana" w:eastAsia="Verdana" w:hAnsi="Verdana" w:cs="Verdana"/>
          <w:color w:val="000000"/>
        </w:rPr>
        <w:t xml:space="preserve"> –area genitori.</w:t>
      </w:r>
    </w:p>
    <w:p w14:paraId="7590305D" w14:textId="77777777" w:rsidR="0010765C" w:rsidRDefault="00EB1E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Le mail devono essere inviate possibilmente non oltre le ore 18:00 dei giorni feriali.</w:t>
      </w:r>
    </w:p>
    <w:p w14:paraId="7590305E" w14:textId="77777777" w:rsidR="0010765C" w:rsidRDefault="00EB1E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Si ricorda che, nel rispetto della normativa vigente sulla privacy, ogni utente è tenuto a non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diffondere foto o registrazioni relative alle persone presenti in videocon</w:t>
      </w:r>
      <w:r>
        <w:rPr>
          <w:rFonts w:ascii="Verdana" w:eastAsia="Verdana" w:hAnsi="Verdana" w:cs="Verdana"/>
          <w:color w:val="000000"/>
        </w:rPr>
        <w:t>ferenza e alla lezione online.</w:t>
      </w:r>
    </w:p>
    <w:p w14:paraId="7590305F" w14:textId="77777777" w:rsidR="0010765C" w:rsidRDefault="00EB1E73">
      <w:pPr>
        <w:tabs>
          <w:tab w:val="left" w:pos="720"/>
        </w:tabs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Hangouts-Meet ha un sistema di controllo molto efficace e puntuale che permette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all’amministratore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della Piattaforma G Suite di verificare quotidianamente i cosiddetti “log di accesso alla piattaforma“: è possibile monitorare</w:t>
      </w:r>
      <w:r>
        <w:rPr>
          <w:rFonts w:ascii="Verdana" w:eastAsia="Verdana" w:hAnsi="Verdana" w:cs="Verdana"/>
          <w:color w:val="000000"/>
        </w:rPr>
        <w:t>, in tempo reale, le sessioni di videoconferenza aperte, l’orario di inizio/termine della sessione, i partecipanti che hanno avuto accesso, il loro orario di accesso/uscita, etc. La piattaforma è quindi in grado di segnalare tutti gli eventuali abusi, occo</w:t>
      </w:r>
      <w:r>
        <w:rPr>
          <w:rFonts w:ascii="Verdana" w:eastAsia="Verdana" w:hAnsi="Verdana" w:cs="Verdana"/>
          <w:color w:val="000000"/>
        </w:rPr>
        <w:t>rsi prima, durante, dopo ogni sessione di lavoro.</w:t>
      </w:r>
    </w:p>
    <w:p w14:paraId="75903060" w14:textId="77777777" w:rsidR="0010765C" w:rsidRDefault="0010765C">
      <w:pPr>
        <w:tabs>
          <w:tab w:val="left" w:pos="720"/>
        </w:tabs>
        <w:spacing w:after="0"/>
        <w:jc w:val="both"/>
        <w:rPr>
          <w:rFonts w:ascii="Verdana" w:eastAsia="Verdana" w:hAnsi="Verdana" w:cs="Verdana"/>
        </w:rPr>
      </w:pPr>
    </w:p>
    <w:p w14:paraId="75903061" w14:textId="77777777" w:rsidR="0010765C" w:rsidRDefault="0010765C">
      <w:pPr>
        <w:tabs>
          <w:tab w:val="left" w:pos="720"/>
        </w:tabs>
        <w:spacing w:after="0"/>
        <w:jc w:val="both"/>
        <w:rPr>
          <w:rFonts w:ascii="Verdana" w:eastAsia="Verdana" w:hAnsi="Verdana" w:cs="Verdana"/>
        </w:rPr>
      </w:pPr>
    </w:p>
    <w:p w14:paraId="75903062" w14:textId="77777777" w:rsidR="0010765C" w:rsidRDefault="00E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Supporto </w:t>
      </w:r>
      <w:r>
        <w:rPr>
          <w:rFonts w:ascii="Verdana" w:eastAsia="Verdana" w:hAnsi="Verdana" w:cs="Verdana"/>
          <w:b/>
        </w:rPr>
        <w:t>all'attività</w:t>
      </w:r>
      <w:r>
        <w:rPr>
          <w:rFonts w:ascii="Verdana" w:eastAsia="Verdana" w:hAnsi="Verdana" w:cs="Verdana"/>
          <w:b/>
          <w:color w:val="000000"/>
        </w:rPr>
        <w:t xml:space="preserve"> didattica dei docenti di classe</w:t>
      </w:r>
    </w:p>
    <w:p w14:paraId="75903063" w14:textId="77777777" w:rsidR="0010765C" w:rsidRDefault="00EB1E73">
      <w:pPr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</w:rPr>
        <w:t xml:space="preserve">Proseguono </w:t>
      </w:r>
      <w:r>
        <w:rPr>
          <w:rFonts w:ascii="Verdana" w:eastAsia="Verdana" w:hAnsi="Verdana" w:cs="Verdana"/>
          <w:color w:val="222222"/>
        </w:rPr>
        <w:t xml:space="preserve">le attività di alfabetizzazione. </w:t>
      </w:r>
    </w:p>
    <w:p w14:paraId="75903064" w14:textId="77777777" w:rsidR="0010765C" w:rsidRDefault="00EB1E73" w:rsidP="003B2E2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Esterni  autorizzati: All'interno di G suite è costituita una "organizzazione esterni" rivolta ad operatori ed esperti che già collaborano con l’istituzione nell’azione didattica (assistenti della provincia, operatori di Italia-educante...). Gli esterni ri</w:t>
      </w:r>
      <w:r>
        <w:rPr>
          <w:rFonts w:ascii="Verdana" w:eastAsia="Verdana" w:hAnsi="Verdana" w:cs="Verdana"/>
        </w:rPr>
        <w:t xml:space="preserve">cevono mail con l'estensione dell'Istituto; attivano la mail e entrano in classroom con facoltà simili a quelle dei docenti, possono essere invitati a classroom esistenti o crearne una propria. Sono attivati contatti diretti famiglia - operatore. </w:t>
      </w:r>
    </w:p>
    <w:sectPr w:rsidR="0010765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66A59" w14:textId="77777777" w:rsidR="00EB1E73" w:rsidRDefault="00EB1E73">
      <w:pPr>
        <w:spacing w:after="0" w:line="240" w:lineRule="auto"/>
      </w:pPr>
      <w:r>
        <w:separator/>
      </w:r>
    </w:p>
  </w:endnote>
  <w:endnote w:type="continuationSeparator" w:id="0">
    <w:p w14:paraId="6A926045" w14:textId="77777777" w:rsidR="00EB1E73" w:rsidRDefault="00EB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03067" w14:textId="7F70A520" w:rsidR="0010765C" w:rsidRDefault="00EB1E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B2E2E">
      <w:rPr>
        <w:color w:val="000000"/>
      </w:rPr>
      <w:fldChar w:fldCharType="separate"/>
    </w:r>
    <w:r w:rsidR="003B2E2E">
      <w:rPr>
        <w:noProof/>
        <w:color w:val="000000"/>
      </w:rPr>
      <w:t>1</w:t>
    </w:r>
    <w:r>
      <w:rPr>
        <w:color w:val="000000"/>
      </w:rPr>
      <w:fldChar w:fldCharType="end"/>
    </w:r>
  </w:p>
  <w:p w14:paraId="75903068" w14:textId="77777777" w:rsidR="0010765C" w:rsidRDefault="001076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7C766" w14:textId="77777777" w:rsidR="00EB1E73" w:rsidRDefault="00EB1E73">
      <w:pPr>
        <w:spacing w:after="0" w:line="240" w:lineRule="auto"/>
      </w:pPr>
      <w:r>
        <w:separator/>
      </w:r>
    </w:p>
  </w:footnote>
  <w:footnote w:type="continuationSeparator" w:id="0">
    <w:p w14:paraId="22943C70" w14:textId="77777777" w:rsidR="00EB1E73" w:rsidRDefault="00EB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03065" w14:textId="77777777" w:rsidR="0010765C" w:rsidRDefault="00EB1E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  <w:color w:val="000000"/>
      </w:rPr>
      <w:drawing>
        <wp:inline distT="0" distB="0" distL="0" distR="0" wp14:anchorId="75903069" wp14:editId="7590306A">
          <wp:extent cx="2263083" cy="73035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3083" cy="730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90306B" wp14:editId="7590306C">
          <wp:extent cx="2276329" cy="525939"/>
          <wp:effectExtent l="0" t="0" r="0" b="0"/>
          <wp:docPr id="2" name="image2.jpg" descr="1_Loghi PON 2014-2020 (fse) cort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1_Loghi PON 2014-2020 (fse) corto-1.jpg"/>
                  <pic:cNvPicPr preferRelativeResize="0"/>
                </pic:nvPicPr>
                <pic:blipFill>
                  <a:blip r:embed="rId2"/>
                  <a:srcRect l="-29288" r="29288"/>
                  <a:stretch>
                    <a:fillRect/>
                  </a:stretch>
                </pic:blipFill>
                <pic:spPr>
                  <a:xfrm>
                    <a:off x="0" y="0"/>
                    <a:ext cx="2276329" cy="525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903066" w14:textId="77777777" w:rsidR="0010765C" w:rsidRDefault="00EB1E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b/>
        <w:color w:val="548DD4"/>
        <w:sz w:val="20"/>
        <w:szCs w:val="20"/>
      </w:rPr>
      <w:t xml:space="preserve">ISTITUTO COMPRENSIVO VICENZA 9   </w:t>
    </w:r>
    <w:r>
      <w:pict w14:anchorId="7590306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0230"/>
    <w:multiLevelType w:val="multilevel"/>
    <w:tmpl w:val="16E825D8"/>
    <w:lvl w:ilvl="0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991090"/>
    <w:multiLevelType w:val="multilevel"/>
    <w:tmpl w:val="4306B7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00D9"/>
    <w:multiLevelType w:val="multilevel"/>
    <w:tmpl w:val="765C3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13E8"/>
    <w:multiLevelType w:val="multilevel"/>
    <w:tmpl w:val="C82CD41A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D9233A"/>
    <w:multiLevelType w:val="multilevel"/>
    <w:tmpl w:val="4BC080E0"/>
    <w:lvl w:ilvl="0">
      <w:start w:val="3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847DDC"/>
    <w:multiLevelType w:val="multilevel"/>
    <w:tmpl w:val="4ED24A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399"/>
    <w:multiLevelType w:val="multilevel"/>
    <w:tmpl w:val="128CF0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34CC5"/>
    <w:multiLevelType w:val="multilevel"/>
    <w:tmpl w:val="D2E88F0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649B9"/>
    <w:multiLevelType w:val="multilevel"/>
    <w:tmpl w:val="FB1E7A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9525E"/>
    <w:multiLevelType w:val="multilevel"/>
    <w:tmpl w:val="3768E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E5BF8"/>
    <w:multiLevelType w:val="multilevel"/>
    <w:tmpl w:val="2912DC9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3F6BFB"/>
    <w:multiLevelType w:val="multilevel"/>
    <w:tmpl w:val="90F44598"/>
    <w:lvl w:ilvl="0">
      <w:start w:val="3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0B0F1B"/>
    <w:multiLevelType w:val="multilevel"/>
    <w:tmpl w:val="4CF6CA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579E1"/>
    <w:multiLevelType w:val="multilevel"/>
    <w:tmpl w:val="0CF0B2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3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5C"/>
    <w:rsid w:val="0010765C"/>
    <w:rsid w:val="003B2E2E"/>
    <w:rsid w:val="00C303BD"/>
    <w:rsid w:val="00E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02FC0"/>
  <w15:docId w15:val="{09485BF6-E060-4B96-B840-B0E99AA3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C303B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3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cenza9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igente@icvicenza9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simonetta bertarelli</cp:lastModifiedBy>
  <cp:revision>3</cp:revision>
  <dcterms:created xsi:type="dcterms:W3CDTF">2020-04-21T13:33:00Z</dcterms:created>
  <dcterms:modified xsi:type="dcterms:W3CDTF">2020-04-21T13:45:00Z</dcterms:modified>
</cp:coreProperties>
</file>